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24" w:type="dxa"/>
        <w:tblInd w:w="-108" w:type="dxa"/>
        <w:tblLayout w:type="fixed"/>
        <w:tblCellMar>
          <w:top w:w="0" w:type="dxa"/>
          <w:left w:w="108" w:type="dxa"/>
          <w:bottom w:w="0" w:type="dxa"/>
          <w:right w:w="108" w:type="dxa"/>
        </w:tblCellMar>
      </w:tblPr>
      <w:tblGrid>
        <w:gridCol w:w="1185"/>
        <w:gridCol w:w="1440"/>
        <w:gridCol w:w="1276"/>
        <w:gridCol w:w="3522"/>
        <w:gridCol w:w="2007"/>
        <w:gridCol w:w="4394"/>
      </w:tblGrid>
      <w:tr>
        <w:tblPrEx>
          <w:tblLayout w:type="fixed"/>
          <w:tblCellMar>
            <w:top w:w="0" w:type="dxa"/>
            <w:left w:w="108" w:type="dxa"/>
            <w:bottom w:w="0" w:type="dxa"/>
            <w:right w:w="108" w:type="dxa"/>
          </w:tblCellMar>
        </w:tblPrEx>
        <w:trPr>
          <w:trHeight w:val="420" w:hRule="atLeast"/>
        </w:trPr>
        <w:tc>
          <w:tcPr>
            <w:tcW w:w="13824" w:type="dxa"/>
            <w:gridSpan w:val="6"/>
            <w:shd w:val="clear" w:color="auto" w:fill="auto"/>
            <w:noWrap/>
            <w:vAlign w:val="center"/>
          </w:tcPr>
          <w:p>
            <w:pPr>
              <w:widowControl/>
              <w:rPr>
                <w:rFonts w:ascii="宋体" w:hAnsi="宋体" w:cs="宋体"/>
                <w:b/>
                <w:bCs/>
                <w:color w:val="000000"/>
                <w:kern w:val="0"/>
                <w:sz w:val="32"/>
                <w:szCs w:val="32"/>
              </w:rPr>
            </w:pPr>
            <w:r>
              <w:rPr>
                <w:rFonts w:ascii="宋体" w:hAnsi="宋体" w:cs="宋体"/>
                <w:b/>
                <w:bCs/>
                <w:color w:val="000000"/>
                <w:kern w:val="0"/>
                <w:sz w:val="32"/>
                <w:szCs w:val="32"/>
              </w:rPr>
              <w:t>附件1</w:t>
            </w:r>
            <w:r>
              <w:rPr>
                <w:rFonts w:hint="eastAsia" w:ascii="宋体" w:hAnsi="宋体" w:cs="宋体"/>
                <w:b/>
                <w:bCs/>
                <w:color w:val="000000"/>
                <w:kern w:val="0"/>
                <w:sz w:val="32"/>
                <w:szCs w:val="32"/>
              </w:rPr>
              <w:t>：</w:t>
            </w:r>
            <w:bookmarkStart w:id="1" w:name="_GoBack"/>
            <w:bookmarkEnd w:id="1"/>
          </w:p>
        </w:tc>
      </w:tr>
      <w:tr>
        <w:tblPrEx>
          <w:tblLayout w:type="fixed"/>
          <w:tblCellMar>
            <w:top w:w="0" w:type="dxa"/>
            <w:left w:w="108" w:type="dxa"/>
            <w:bottom w:w="0" w:type="dxa"/>
            <w:right w:w="108" w:type="dxa"/>
          </w:tblCellMar>
        </w:tblPrEx>
        <w:trPr>
          <w:trHeight w:val="745" w:hRule="atLeast"/>
        </w:trPr>
        <w:tc>
          <w:tcPr>
            <w:tcW w:w="13824" w:type="dxa"/>
            <w:gridSpan w:val="6"/>
            <w:tcBorders>
              <w:bottom w:val="single" w:color="auto" w:sz="4" w:space="0"/>
            </w:tcBorders>
            <w:shd w:val="clear" w:color="auto" w:fill="auto"/>
            <w:noWrap/>
            <w:vAlign w:val="center"/>
          </w:tcPr>
          <w:p>
            <w:pPr>
              <w:widowControl/>
              <w:jc w:val="center"/>
              <w:rPr>
                <w:rFonts w:ascii="宋体" w:hAnsi="宋体" w:cs="宋体"/>
                <w:b/>
                <w:bCs/>
                <w:color w:val="000000"/>
                <w:kern w:val="0"/>
                <w:sz w:val="32"/>
                <w:szCs w:val="32"/>
              </w:rPr>
            </w:pPr>
            <w:bookmarkStart w:id="0" w:name="RANGE!A1:G44"/>
            <w:r>
              <w:rPr>
                <w:rFonts w:hint="eastAsia" w:ascii="宋体" w:hAnsi="宋体" w:cs="宋体"/>
                <w:b/>
                <w:bCs/>
                <w:color w:val="000000"/>
                <w:kern w:val="0"/>
                <w:sz w:val="32"/>
                <w:szCs w:val="32"/>
              </w:rPr>
              <w:t>2019年铜川市人民医院公开招聘急需紧缺高层次医护等工作人员岗位计划表</w:t>
            </w:r>
            <w:bookmarkEnd w:id="0"/>
          </w:p>
        </w:tc>
      </w:tr>
      <w:tr>
        <w:tblPrEx>
          <w:tblLayout w:type="fixed"/>
          <w:tblCellMar>
            <w:top w:w="0" w:type="dxa"/>
            <w:left w:w="108" w:type="dxa"/>
            <w:bottom w:w="0" w:type="dxa"/>
            <w:right w:w="108" w:type="dxa"/>
          </w:tblCellMar>
        </w:tblPrEx>
        <w:trPr>
          <w:trHeight w:val="592"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663" w:firstLineChars="3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926" w:hRule="atLeast"/>
        </w:trPr>
        <w:tc>
          <w:tcPr>
            <w:tcW w:w="1185" w:type="dxa"/>
            <w:vMerge w:val="restart"/>
            <w:tcBorders>
              <w:top w:val="nil"/>
              <w:left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ascii="宋体" w:hAnsi="宋体" w:cs="宋体"/>
                <w:b/>
                <w:bCs/>
                <w:color w:val="000000"/>
                <w:kern w:val="0"/>
                <w:sz w:val="22"/>
              </w:rPr>
            </w:pPr>
            <w:r>
              <w:rPr>
                <w:rFonts w:hint="eastAsia" w:ascii="宋体" w:hAnsi="宋体" w:cs="宋体"/>
                <w:b/>
                <w:bCs/>
                <w:color w:val="000000"/>
                <w:kern w:val="0"/>
                <w:sz w:val="22"/>
                <w:szCs w:val="22"/>
              </w:rPr>
              <w:t>铜川市人民医院</w:t>
            </w: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szCs w:val="22"/>
              </w:rPr>
              <w:t>内科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具有内科各专业副主任医师及以上任职资格，年龄50周岁及以下，医学院校的硕士生（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hint="eastAsia"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外科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具有外科各专业副主任医师及以上任职资格，年龄50周岁及以下，医学院校的硕士生（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hint="eastAsia"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ascii="宋体" w:hAnsi="宋体" w:cs="宋体"/>
                <w:color w:val="000000"/>
                <w:kern w:val="0"/>
                <w:sz w:val="22"/>
                <w:szCs w:val="22"/>
              </w:rPr>
              <w:t>妇产科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22"/>
                <w:szCs w:val="22"/>
              </w:rPr>
            </w:pPr>
            <w:r>
              <w:rPr>
                <w:rFonts w:hint="eastAsia" w:ascii="宋体" w:hAnsi="宋体" w:cs="宋体"/>
                <w:color w:val="000000"/>
                <w:kern w:val="0"/>
                <w:sz w:val="22"/>
                <w:szCs w:val="22"/>
              </w:rPr>
              <w:t>具有妇产科副主任医师及以上任职资格，年龄50周岁及以下，医学院校的硕士生（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hint="eastAsia"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儿科</w:t>
            </w:r>
          </w:p>
          <w:p>
            <w:pPr>
              <w:widowControl/>
              <w:jc w:val="left"/>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22"/>
                <w:szCs w:val="22"/>
              </w:rPr>
            </w:pPr>
            <w:r>
              <w:rPr>
                <w:rFonts w:hint="eastAsia" w:ascii="宋体" w:hAnsi="宋体" w:cs="宋体"/>
                <w:color w:val="000000"/>
                <w:kern w:val="0"/>
                <w:sz w:val="22"/>
                <w:szCs w:val="22"/>
              </w:rPr>
              <w:t>具有儿科副主任医师及以上任职资格，年龄50周岁及以下，医学院校的硕士生（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hint="eastAsia"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眼科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22"/>
                <w:szCs w:val="22"/>
              </w:rPr>
            </w:pPr>
            <w:r>
              <w:rPr>
                <w:rFonts w:hint="eastAsia" w:ascii="宋体" w:hAnsi="宋体" w:cs="宋体"/>
                <w:color w:val="000000"/>
                <w:kern w:val="0"/>
                <w:sz w:val="22"/>
                <w:szCs w:val="22"/>
              </w:rPr>
              <w:t>具有眼科副主任医师及以上任职资格，年龄50周岁及以下</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hint="eastAsia"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麻醉科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具有麻醉科副主任医师及以上任职资格，年龄50周岁及以下</w:t>
            </w:r>
          </w:p>
        </w:tc>
      </w:tr>
      <w:tr>
        <w:tblPrEx>
          <w:tblLayout w:type="fixed"/>
          <w:tblCellMar>
            <w:top w:w="0" w:type="dxa"/>
            <w:left w:w="108" w:type="dxa"/>
            <w:bottom w:w="0" w:type="dxa"/>
            <w:right w:w="108" w:type="dxa"/>
          </w:tblCellMar>
        </w:tblPrEx>
        <w:trPr>
          <w:trHeight w:val="1297" w:hRule="atLeast"/>
        </w:trPr>
        <w:tc>
          <w:tcPr>
            <w:tcW w:w="1185" w:type="dxa"/>
            <w:vMerge w:val="continue"/>
            <w:tcBorders>
              <w:left w:val="single" w:color="auto" w:sz="4" w:space="0"/>
              <w:bottom w:val="single" w:color="auto" w:sz="4" w:space="0"/>
              <w:right w:val="single" w:color="auto" w:sz="4" w:space="0"/>
            </w:tcBorders>
            <w:shd w:val="clear" w:color="auto" w:fill="auto"/>
            <w:noWrap w:val="0"/>
            <w:textDirection w:val="tbRlV"/>
            <w:vAlign w:val="center"/>
          </w:tcPr>
          <w:p>
            <w:pPr>
              <w:widowControl/>
              <w:ind w:left="-2" w:leftChars="-529" w:hanging="1109" w:hangingChars="502"/>
              <w:jc w:val="center"/>
              <w:rPr>
                <w:rFonts w:hint="eastAsia" w:ascii="宋体" w:hAnsi="宋体" w:cs="宋体"/>
                <w:b/>
                <w:bCs/>
                <w:color w:val="000000"/>
                <w:kern w:val="0"/>
                <w:sz w:val="22"/>
                <w:szCs w:val="22"/>
              </w:rPr>
            </w:pP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ascii="宋体" w:hAnsi="宋体" w:cs="宋体"/>
                <w:color w:val="000000"/>
                <w:kern w:val="0"/>
                <w:sz w:val="22"/>
                <w:szCs w:val="22"/>
              </w:rPr>
              <w:t>疼痛科</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具有康复医学副主任医师及以上任职资格，年龄50周岁及以下</w:t>
            </w:r>
          </w:p>
        </w:tc>
      </w:tr>
      <w:tr>
        <w:tblPrEx>
          <w:tblLayout w:type="fixed"/>
          <w:tblCellMar>
            <w:top w:w="0" w:type="dxa"/>
            <w:left w:w="108" w:type="dxa"/>
            <w:bottom w:w="0" w:type="dxa"/>
            <w:right w:w="108" w:type="dxa"/>
          </w:tblCellMar>
        </w:tblPrEx>
        <w:trPr>
          <w:trHeight w:val="839"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851" w:hRule="atLeast"/>
        </w:trPr>
        <w:tc>
          <w:tcPr>
            <w:tcW w:w="1185" w:type="dxa"/>
            <w:vMerge w:val="restart"/>
            <w:tcBorders>
              <w:top w:val="single" w:color="auto" w:sz="4" w:space="0"/>
              <w:left w:val="single" w:color="auto" w:sz="4" w:space="0"/>
              <w:right w:val="single" w:color="auto" w:sz="4" w:space="0"/>
            </w:tcBorders>
            <w:shd w:val="clear" w:color="auto" w:fill="auto"/>
            <w:noWrap w:val="0"/>
            <w:textDirection w:val="tbRlV"/>
            <w:vAlign w:val="center"/>
          </w:tcPr>
          <w:p>
            <w:pPr>
              <w:widowControl/>
              <w:ind w:left="-2" w:leftChars="-529" w:right="113" w:hanging="1109" w:hangingChars="502"/>
              <w:jc w:val="center"/>
              <w:rPr>
                <w:rFonts w:ascii="宋体" w:hAnsi="宋体" w:cs="宋体"/>
                <w:b/>
                <w:bCs/>
                <w:color w:val="000000"/>
                <w:kern w:val="0"/>
                <w:sz w:val="22"/>
                <w:szCs w:val="22"/>
              </w:rPr>
            </w:pPr>
            <w:r>
              <w:rPr>
                <w:rFonts w:hint="eastAsia" w:ascii="宋体" w:hAnsi="宋体" w:cs="宋体"/>
                <w:b/>
                <w:bCs/>
                <w:color w:val="000000"/>
                <w:kern w:val="0"/>
                <w:sz w:val="22"/>
                <w:szCs w:val="22"/>
              </w:rPr>
              <w:t>铜川 市人民医院</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内科</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内科学、肿瘤学、老年医学</w:t>
            </w:r>
          </w:p>
        </w:tc>
        <w:tc>
          <w:tcPr>
            <w:tcW w:w="2007" w:type="dxa"/>
            <w:vMerge w:val="restart"/>
            <w:tcBorders>
              <w:top w:val="single" w:color="auto" w:sz="4" w:space="0"/>
              <w:left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22"/>
                <w:szCs w:val="22"/>
              </w:rPr>
            </w:pPr>
            <w:r>
              <w:rPr>
                <w:rFonts w:hint="eastAsia" w:ascii="宋体" w:hAnsi="宋体" w:cs="宋体"/>
                <w:color w:val="000000"/>
                <w:kern w:val="0"/>
                <w:sz w:val="22"/>
                <w:szCs w:val="22"/>
              </w:rPr>
              <w:t>全日制研究生及以上学历，硕士及以上学位</w:t>
            </w:r>
          </w:p>
        </w:tc>
        <w:tc>
          <w:tcPr>
            <w:tcW w:w="4394" w:type="dxa"/>
            <w:vMerge w:val="restart"/>
            <w:tcBorders>
              <w:top w:val="single" w:color="auto" w:sz="4" w:space="0"/>
              <w:left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22"/>
                <w:szCs w:val="22"/>
              </w:rPr>
            </w:pPr>
            <w:r>
              <w:rPr>
                <w:rFonts w:hint="eastAsia" w:ascii="宋体" w:hAnsi="宋体" w:cs="宋体"/>
                <w:color w:val="000000"/>
                <w:kern w:val="0"/>
                <w:sz w:val="22"/>
                <w:szCs w:val="22"/>
              </w:rPr>
              <w:t>年龄40周岁及以下</w:t>
            </w:r>
          </w:p>
        </w:tc>
      </w:tr>
      <w:tr>
        <w:tblPrEx>
          <w:tblLayout w:type="fixed"/>
          <w:tblCellMar>
            <w:top w:w="0" w:type="dxa"/>
            <w:left w:w="108" w:type="dxa"/>
            <w:bottom w:w="0" w:type="dxa"/>
            <w:right w:w="108" w:type="dxa"/>
          </w:tblCellMar>
        </w:tblPrEx>
        <w:trPr>
          <w:trHeight w:val="558"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外科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20</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外科学</w:t>
            </w:r>
          </w:p>
        </w:tc>
        <w:tc>
          <w:tcPr>
            <w:tcW w:w="2007"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86"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眼科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眼科学</w:t>
            </w:r>
          </w:p>
        </w:tc>
        <w:tc>
          <w:tcPr>
            <w:tcW w:w="2007"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4"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急诊科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急诊医学</w:t>
            </w:r>
          </w:p>
        </w:tc>
        <w:tc>
          <w:tcPr>
            <w:tcW w:w="2007"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2"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儿科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儿科学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06"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耳鼻喉科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耳鼻咽喉科学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3"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麻醉学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9"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妇产科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妇产科学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82"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肿瘤科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生物医学工程</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62"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口腔临床医学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83"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中医、康复科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中医学、中医诊断学、中西医结合临床、针灸推拿学、中医基础理论</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36"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nil"/>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控感科</w:t>
            </w:r>
          </w:p>
        </w:tc>
        <w:tc>
          <w:tcPr>
            <w:tcW w:w="1276" w:type="dxa"/>
            <w:tcBorders>
              <w:top w:val="nil"/>
              <w:left w:val="nil"/>
              <w:bottom w:val="nil"/>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3</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公共卫生、劳动卫生与环境卫生学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30"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病理科</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病理学与病理生理学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5" w:hRule="atLeast"/>
        </w:trPr>
        <w:tc>
          <w:tcPr>
            <w:tcW w:w="118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szCs w:val="22"/>
              </w:rPr>
              <w:t>临床药学科</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szCs w:val="22"/>
              </w:rPr>
              <w:t>2</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药学、中药学</w:t>
            </w:r>
          </w:p>
        </w:tc>
        <w:tc>
          <w:tcPr>
            <w:tcW w:w="200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8" w:hRule="atLeast"/>
        </w:trPr>
        <w:tc>
          <w:tcPr>
            <w:tcW w:w="1185" w:type="dxa"/>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558" w:hRule="atLeast"/>
        </w:trPr>
        <w:tc>
          <w:tcPr>
            <w:tcW w:w="1185" w:type="dxa"/>
            <w:vMerge w:val="restart"/>
            <w:tcBorders>
              <w:top w:val="single" w:color="auto" w:sz="4" w:space="0"/>
              <w:left w:val="single" w:color="auto" w:sz="4" w:space="0"/>
              <w:right w:val="single" w:color="auto" w:sz="4" w:space="0"/>
            </w:tcBorders>
            <w:shd w:val="clear" w:color="auto" w:fill="auto"/>
            <w:noWrap w:val="0"/>
            <w:textDirection w:val="tbRlV"/>
            <w:vAlign w:val="center"/>
          </w:tcPr>
          <w:p>
            <w:pPr>
              <w:widowControl/>
              <w:ind w:left="113" w:right="113"/>
              <w:jc w:val="center"/>
              <w:rPr>
                <w:rFonts w:ascii="宋体" w:hAnsi="宋体" w:cs="宋体"/>
                <w:b/>
                <w:bCs/>
                <w:color w:val="000000"/>
                <w:kern w:val="0"/>
                <w:sz w:val="22"/>
              </w:rPr>
            </w:pPr>
          </w:p>
          <w:p>
            <w:pPr>
              <w:ind w:left="113" w:right="113"/>
              <w:jc w:val="center"/>
              <w:rPr>
                <w:rFonts w:ascii="宋体" w:hAnsi="宋体" w:cs="宋体"/>
                <w:b/>
                <w:bCs/>
                <w:color w:val="000000"/>
                <w:kern w:val="0"/>
                <w:sz w:val="22"/>
                <w:highlight w:val="yellow"/>
              </w:rPr>
            </w:pPr>
            <w:r>
              <w:rPr>
                <w:rFonts w:hint="eastAsia" w:ascii="宋体" w:hAnsi="宋体" w:cs="宋体"/>
                <w:b/>
                <w:bCs/>
                <w:color w:val="000000"/>
                <w:kern w:val="0"/>
                <w:sz w:val="22"/>
                <w:szCs w:val="22"/>
              </w:rPr>
              <w:t xml:space="preserve">  铜川市人民医院</w:t>
            </w:r>
          </w:p>
        </w:tc>
        <w:tc>
          <w:tcPr>
            <w:tcW w:w="144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highlight w:val="yellow"/>
              </w:rPr>
            </w:pPr>
            <w:r>
              <w:rPr>
                <w:rFonts w:hint="eastAsia" w:ascii="宋体" w:hAnsi="宋体" w:cs="宋体"/>
                <w:color w:val="000000"/>
                <w:kern w:val="0"/>
                <w:sz w:val="22"/>
                <w:szCs w:val="22"/>
              </w:rPr>
              <w:t>临床科室</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ascii="宋体" w:hAnsi="宋体" w:cs="宋体"/>
                <w:kern w:val="0"/>
                <w:sz w:val="22"/>
                <w:szCs w:val="22"/>
              </w:rPr>
              <w:t>2</w:t>
            </w:r>
            <w:r>
              <w:rPr>
                <w:rFonts w:hint="eastAsia" w:ascii="宋体" w:hAnsi="宋体" w:cs="宋体"/>
                <w:kern w:val="0"/>
                <w:sz w:val="22"/>
                <w:szCs w:val="22"/>
              </w:rPr>
              <w:t>5</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护理学、助产专业</w:t>
            </w:r>
          </w:p>
        </w:tc>
        <w:tc>
          <w:tcPr>
            <w:tcW w:w="200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本科及以上学历</w:t>
            </w:r>
          </w:p>
        </w:tc>
        <w:tc>
          <w:tcPr>
            <w:tcW w:w="439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具有中级职称，二甲及以上医院工作经历，年龄45周岁及以下</w:t>
            </w:r>
          </w:p>
        </w:tc>
      </w:tr>
      <w:tr>
        <w:tblPrEx>
          <w:tblLayout w:type="fixed"/>
          <w:tblCellMar>
            <w:top w:w="0" w:type="dxa"/>
            <w:left w:w="108" w:type="dxa"/>
            <w:bottom w:w="0" w:type="dxa"/>
            <w:right w:w="108" w:type="dxa"/>
          </w:tblCellMar>
        </w:tblPrEx>
        <w:trPr>
          <w:trHeight w:val="415" w:hRule="atLeast"/>
        </w:trPr>
        <w:tc>
          <w:tcPr>
            <w:tcW w:w="1185"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2"/>
                <w:highlight w:val="yellow"/>
              </w:rPr>
            </w:pPr>
          </w:p>
        </w:tc>
        <w:tc>
          <w:tcPr>
            <w:tcW w:w="1440"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highlight w:val="yellow"/>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ascii="宋体" w:hAnsi="宋体" w:cs="宋体"/>
                <w:kern w:val="0"/>
                <w:sz w:val="22"/>
                <w:szCs w:val="22"/>
              </w:rPr>
              <w:t>15</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06" w:hRule="atLeast"/>
        </w:trPr>
        <w:tc>
          <w:tcPr>
            <w:tcW w:w="1185" w:type="dxa"/>
            <w:vMerge w:val="continue"/>
            <w:tcBorders>
              <w:left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2"/>
                <w:highlight w:val="yellow"/>
              </w:rPr>
            </w:pPr>
          </w:p>
        </w:tc>
        <w:tc>
          <w:tcPr>
            <w:tcW w:w="1440"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highlight w:val="yellow"/>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中医学、中西医临床医学</w:t>
            </w:r>
          </w:p>
        </w:tc>
        <w:tc>
          <w:tcPr>
            <w:tcW w:w="2007" w:type="dxa"/>
            <w:vMerge w:val="continue"/>
            <w:tcBorders>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6" w:hRule="atLeast"/>
        </w:trPr>
        <w:tc>
          <w:tcPr>
            <w:tcW w:w="1185" w:type="dxa"/>
            <w:vMerge w:val="continue"/>
            <w:tcBorders>
              <w:left w:val="single" w:color="auto" w:sz="4" w:space="0"/>
              <w:right w:val="single" w:color="auto" w:sz="4" w:space="0"/>
            </w:tcBorders>
            <w:shd w:val="clear" w:color="auto" w:fill="auto"/>
            <w:noWrap w:val="0"/>
            <w:textDirection w:val="tbRlV"/>
            <w:vAlign w:val="center"/>
          </w:tcPr>
          <w:p>
            <w:pPr>
              <w:widowControl/>
              <w:jc w:val="center"/>
              <w:rPr>
                <w:rFonts w:ascii="宋体" w:hAnsi="宋体" w:cs="宋体"/>
                <w:b/>
                <w:bCs/>
                <w:color w:val="000000"/>
                <w:kern w:val="0"/>
                <w:sz w:val="22"/>
              </w:rPr>
            </w:pPr>
          </w:p>
        </w:tc>
        <w:tc>
          <w:tcPr>
            <w:tcW w:w="144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 xml:space="preserve">临床科室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全日制本科及以上学历，学士及以上学位</w:t>
            </w:r>
          </w:p>
        </w:tc>
        <w:tc>
          <w:tcPr>
            <w:tcW w:w="439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具有执业医师资格或本专业上岗资格，二甲及以上医院工作经历，年龄35周岁及以下</w:t>
            </w:r>
          </w:p>
        </w:tc>
      </w:tr>
      <w:tr>
        <w:tblPrEx>
          <w:tblLayout w:type="fixed"/>
          <w:tblCellMar>
            <w:top w:w="0" w:type="dxa"/>
            <w:left w:w="108" w:type="dxa"/>
            <w:bottom w:w="0" w:type="dxa"/>
            <w:right w:w="108" w:type="dxa"/>
          </w:tblCellMar>
        </w:tblPrEx>
        <w:trPr>
          <w:trHeight w:val="405"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40</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护理学</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65"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临床医学、麻醉学、临床医学（麻醉学方向）</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4"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肿瘤科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生物医学工程、核物理</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9"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超声科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医学影像学、临床医学</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8"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医学影像学、临床医学</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0"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口腔医学</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7"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口腔修复工艺</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2"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检验科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医学检验、医学检验技术</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4"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功能科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54"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临床药学科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药学、临床药学、药学（临床药学方向）</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2"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精神卫生科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临床医学（精神病与精神卫生方向）</w:t>
            </w:r>
          </w:p>
        </w:tc>
        <w:tc>
          <w:tcPr>
            <w:tcW w:w="200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7" w:hRule="atLeast"/>
        </w:trPr>
        <w:tc>
          <w:tcPr>
            <w:tcW w:w="1185" w:type="dxa"/>
            <w:vMerge w:val="continue"/>
            <w:tcBorders>
              <w:left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康复科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针灸推拿学、康复治疗学、运动康复、康复治疗技术</w:t>
            </w:r>
          </w:p>
        </w:tc>
        <w:tc>
          <w:tcPr>
            <w:tcW w:w="20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84" w:hRule="atLeast"/>
        </w:trPr>
        <w:tc>
          <w:tcPr>
            <w:tcW w:w="1185"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药剂科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药学、药物分析、制药工程</w:t>
            </w:r>
          </w:p>
        </w:tc>
        <w:tc>
          <w:tcPr>
            <w:tcW w:w="2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c>
          <w:tcPr>
            <w:tcW w:w="43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04" w:hRule="atLeast"/>
        </w:trPr>
        <w:tc>
          <w:tcPr>
            <w:tcW w:w="11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2"/>
              </w:rPr>
            </w:pPr>
            <w:r>
              <w:rPr>
                <w:rFonts w:ascii="宋体" w:hAnsi="宋体" w:cs="宋体"/>
                <w:b/>
                <w:bCs/>
                <w:color w:val="000000"/>
                <w:kern w:val="0"/>
                <w:sz w:val="22"/>
              </w:rPr>
              <w:t>招聘人数</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2"/>
              </w:rPr>
            </w:pPr>
            <w:r>
              <w:rPr>
                <w:rFonts w:hint="eastAsia" w:ascii="宋体" w:hAnsi="宋体" w:cs="宋体"/>
                <w:b/>
                <w:bCs/>
                <w:color w:val="000000"/>
                <w:kern w:val="0"/>
                <w:sz w:val="22"/>
                <w:szCs w:val="22"/>
              </w:rPr>
              <w:t>招聘人数专业</w:t>
            </w:r>
          </w:p>
        </w:tc>
        <w:tc>
          <w:tcPr>
            <w:tcW w:w="2007"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nil"/>
              <w:right w:val="single" w:color="auto" w:sz="4" w:space="0"/>
            </w:tcBorders>
            <w:noWrap w:val="0"/>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646" w:hRule="atLeast"/>
        </w:trPr>
        <w:tc>
          <w:tcPr>
            <w:tcW w:w="118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病案室</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52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公共事业管理</w:t>
            </w:r>
          </w:p>
        </w:tc>
        <w:tc>
          <w:tcPr>
            <w:tcW w:w="2007"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具有事业单位工作经历，年龄35周岁及以下（本专业必须毕业于医学类院校）</w:t>
            </w:r>
          </w:p>
        </w:tc>
      </w:tr>
      <w:tr>
        <w:tblPrEx>
          <w:tblLayout w:type="fixed"/>
          <w:tblCellMar>
            <w:top w:w="0" w:type="dxa"/>
            <w:left w:w="108" w:type="dxa"/>
            <w:bottom w:w="0" w:type="dxa"/>
            <w:right w:w="108" w:type="dxa"/>
          </w:tblCellMar>
        </w:tblPrEx>
        <w:trPr>
          <w:trHeight w:val="725" w:hRule="atLeast"/>
        </w:trPr>
        <w:tc>
          <w:tcPr>
            <w:tcW w:w="118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疾控科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预防医学</w:t>
            </w:r>
          </w:p>
        </w:tc>
        <w:tc>
          <w:tcPr>
            <w:tcW w:w="2007" w:type="dxa"/>
            <w:vMerge w:val="restart"/>
            <w:tcBorders>
              <w:top w:val="single" w:color="auto" w:sz="4" w:space="0"/>
              <w:left w:val="single" w:color="auto" w:sz="4" w:space="0"/>
              <w:right w:val="single" w:color="auto" w:sz="4" w:space="0"/>
            </w:tcBorders>
            <w:shd w:val="clear" w:color="auto" w:fill="auto"/>
            <w:noWrap w:val="0"/>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w:t>
            </w:r>
          </w:p>
        </w:tc>
      </w:tr>
      <w:tr>
        <w:tblPrEx>
          <w:tblLayout w:type="fixed"/>
          <w:tblCellMar>
            <w:top w:w="0" w:type="dxa"/>
            <w:left w:w="108" w:type="dxa"/>
            <w:bottom w:w="0" w:type="dxa"/>
            <w:right w:w="108" w:type="dxa"/>
          </w:tblCellMar>
        </w:tblPrEx>
        <w:trPr>
          <w:trHeight w:val="790" w:hRule="atLeast"/>
        </w:trPr>
        <w:tc>
          <w:tcPr>
            <w:tcW w:w="118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信息</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计算机科学与技术、电子信息工程、信息管理与信息系统、软件工程、电子科学与技术、物联网工程、数字媒体技术</w:t>
            </w:r>
          </w:p>
        </w:tc>
        <w:tc>
          <w:tcPr>
            <w:tcW w:w="2007" w:type="dxa"/>
            <w:vMerge w:val="continue"/>
            <w:tcBorders>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4394"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1936" w:hRule="atLeast"/>
        </w:trPr>
        <w:tc>
          <w:tcPr>
            <w:tcW w:w="118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财务科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352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会计学、国际经济与贸易、财务管理、金融学、经济学</w:t>
            </w:r>
          </w:p>
        </w:tc>
        <w:tc>
          <w:tcPr>
            <w:tcW w:w="200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w:t>
            </w:r>
          </w:p>
        </w:tc>
      </w:tr>
      <w:tr>
        <w:tblPrEx>
          <w:tblLayout w:type="fixed"/>
          <w:tblCellMar>
            <w:top w:w="0" w:type="dxa"/>
            <w:left w:w="108" w:type="dxa"/>
            <w:bottom w:w="0" w:type="dxa"/>
            <w:right w:w="108" w:type="dxa"/>
          </w:tblCellMar>
        </w:tblPrEx>
        <w:trPr>
          <w:trHeight w:val="504" w:hRule="atLeast"/>
        </w:trPr>
        <w:tc>
          <w:tcPr>
            <w:tcW w:w="118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923"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rPr>
          <w:rFonts w:ascii="仿宋_GB2312" w:hAnsi="仿宋_GB2312" w:eastAsia="仿宋_GB2312" w:cs="仿宋_GB2312"/>
          <w:sz w:val="32"/>
          <w:szCs w:val="32"/>
        </w:rPr>
        <w:sectPr>
          <w:pgSz w:w="16838" w:h="11906" w:orient="landscape"/>
          <w:pgMar w:top="1559" w:right="1701" w:bottom="1135" w:left="1440" w:header="851" w:footer="992" w:gutter="0"/>
          <w:pgNumType w:fmt="numberInDash"/>
          <w:cols w:space="425"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250A2"/>
    <w:rsid w:val="02D2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2019-09-07T01:24:00Z</dcterms:created>
  <dc:creator>努力的人</dc:creator>
  <cp:lastModifiedBy>努力的人</cp:lastModifiedBy>
  <dcterms:modified xsi:type="dcterms:W3CDTF">2019-09-07T01:29:31Z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